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2307" w14:textId="77777777" w:rsidR="00862CFF" w:rsidRDefault="00360919" w:rsidP="00862CFF">
      <w:pPr>
        <w:pStyle w:val="NormalWeb"/>
        <w:jc w:val="center"/>
        <w:rPr>
          <w:rFonts w:ascii="Trebuchet MS" w:hAnsi="Trebuchet MS"/>
          <w:b/>
          <w:bCs/>
          <w:sz w:val="27"/>
          <w:szCs w:val="27"/>
        </w:rPr>
      </w:pPr>
      <w:r w:rsidRPr="008F74B1">
        <w:rPr>
          <w:rFonts w:ascii="Trebuchet MS" w:hAnsi="Trebuchet MS"/>
          <w:b/>
          <w:bCs/>
          <w:sz w:val="27"/>
          <w:szCs w:val="27"/>
        </w:rPr>
        <w:t>OBAVIJEST</w:t>
      </w:r>
    </w:p>
    <w:p w14:paraId="69592EA3" w14:textId="30ABF385" w:rsidR="00360919" w:rsidRPr="00862CFF" w:rsidRDefault="00862CFF" w:rsidP="00862CF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kandidatima prijavljenim na natječaj za radno mjesto                                        </w:t>
      </w:r>
      <w:r w:rsidRPr="00862CFF">
        <w:rPr>
          <w:b/>
          <w:bCs/>
          <w:color w:val="000000"/>
          <w:sz w:val="27"/>
          <w:szCs w:val="27"/>
        </w:rPr>
        <w:t>stručni suradnik/pedagog(m/ž)-</w:t>
      </w:r>
      <w:r>
        <w:rPr>
          <w:color w:val="000000"/>
          <w:sz w:val="27"/>
          <w:szCs w:val="27"/>
        </w:rPr>
        <w:t>1 izvršitelj/ica na neodređeno, nepuno radno vrijeme, 20 sati tjedno</w:t>
      </w:r>
      <w:r w:rsidR="005A760A">
        <w:rPr>
          <w:color w:val="000000"/>
          <w:sz w:val="27"/>
          <w:szCs w:val="27"/>
        </w:rPr>
        <w:t xml:space="preserve"> </w:t>
      </w:r>
    </w:p>
    <w:p w14:paraId="660F6F58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U skladu s Pravilnikom o načinu i postupku zapošljavanja u Učeničkom domu-Kutina ravnateljica  Doma, pisanom odlukom imenuje Povjerenstvo koje sudjeluje u procjeni odnosno provođenju postupka vrednovanja kandidata za prijem u radni odnos.</w:t>
      </w:r>
    </w:p>
    <w:p w14:paraId="792F6306" w14:textId="1641313E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Provjera kompetencija kandidata za odgovarajuće radno mjesto sastoji se od </w:t>
      </w:r>
      <w:r w:rsid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selekcijskog postupka/razgovora 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s kandidat</w:t>
      </w:r>
      <w:r w:rsid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ima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</w:t>
      </w:r>
    </w:p>
    <w:p w14:paraId="29F6D824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Razgovor se provodi ponaosob za svakog kandidata s unaprijed pripremljenim pitanjima koja moraju biti istovjetna za sve kandidate, a koje izrađuje Povjerenstvo.</w:t>
      </w:r>
    </w:p>
    <w:p w14:paraId="7DCE9366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Razgovor (intervju) ne može trajati duže od 30 minuta po kandidatu.</w:t>
      </w:r>
    </w:p>
    <w:p w14:paraId="78F9A457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Pitanja se moraju odnositi na poslove vezane za radno mjesto iz natječaja.</w:t>
      </w:r>
    </w:p>
    <w:p w14:paraId="7682E627" w14:textId="3687EA29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Svaki član Povjerenstva za procjenu kandidata postavlja pitanja, temeljem kojih vrši:</w:t>
      </w:r>
    </w:p>
    <w:p w14:paraId="16C44C86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znanja o poslu radnog mjesta</w:t>
      </w:r>
    </w:p>
    <w:p w14:paraId="03B868F4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općeg dojma/ozbiljnosti kandidata</w:t>
      </w:r>
    </w:p>
    <w:p w14:paraId="549F1BED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motiviranosti/entuzijazma kandidata</w:t>
      </w:r>
    </w:p>
    <w:p w14:paraId="76FF3148" w14:textId="77777777" w:rsidR="00360919" w:rsidRPr="008F74B1" w:rsidRDefault="00360919" w:rsidP="00360919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vještine komuniciranja</w:t>
      </w:r>
    </w:p>
    <w:p w14:paraId="5B6002F8" w14:textId="3B14CFC4" w:rsidR="00360919" w:rsidRDefault="00360919" w:rsidP="008E1791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  <w:t>procjenu fleksibilnosti kandidata</w:t>
      </w:r>
    </w:p>
    <w:p w14:paraId="6DAEA30E" w14:textId="77777777" w:rsidR="008E1791" w:rsidRPr="008E1791" w:rsidRDefault="008E1791" w:rsidP="008E1791">
      <w:pPr>
        <w:shd w:val="clear" w:color="auto" w:fill="F5FAFD"/>
        <w:spacing w:after="0" w:line="240" w:lineRule="auto"/>
        <w:ind w:left="720"/>
        <w:rPr>
          <w:rFonts w:ascii="inherit" w:eastAsia="Times New Roman" w:hAnsi="inherit" w:cs="Times New Roman"/>
          <w:kern w:val="0"/>
          <w:sz w:val="21"/>
          <w:szCs w:val="21"/>
          <w:lang w:eastAsia="hr-HR"/>
          <w14:ligatures w14:val="none"/>
        </w:rPr>
      </w:pPr>
    </w:p>
    <w:p w14:paraId="0D5EC80D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Smatra se da je kandidat zadovoljio  na razgovoru(intervjuu), ako je ostvario najmanje 50% bodova od ukupnog broja bodova svih članova Povjerenstva.</w:t>
      </w:r>
    </w:p>
    <w:p w14:paraId="082D5A0A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Ako se kandidati ne odazovu pozivu na razgovor do zakazanog vremena, smatrat će se da su povukli prijavu na natječaj i više se ne smatraju kandidatima.</w:t>
      </w:r>
    </w:p>
    <w:p w14:paraId="4EE3F7C4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Prijavom na natječaj kandidati su suglasni da Učenički dom-Kutina, kao voditelj zbirke podataka može prikupljati, koristiti i dalje obrađivati osobne podatke u svrhu provedbe natječajnog postupka u skladu s zakonskim propisima.</w:t>
      </w:r>
    </w:p>
    <w:p w14:paraId="1AA4F4A5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U nastavku možete pročitati područja provjere, pravne i druge izvore za pripremu kandidata za razgovor (intervju). Obavijest o vremenu i mjestu održavanja razgovora(intervjua) objaviti ćemo minimalno pet dana dana prije održavanja razgovora (intervjua).</w:t>
      </w:r>
    </w:p>
    <w:p w14:paraId="46EC97A3" w14:textId="77540798" w:rsidR="00360919" w:rsidRPr="008E1791" w:rsidRDefault="008E1791" w:rsidP="008E1791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</w:pPr>
      <w:r w:rsidRPr="008E179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PODRUČJE PROVJERE</w:t>
      </w:r>
      <w:r w:rsidR="00360919" w:rsidRPr="008E179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 </w:t>
      </w:r>
    </w:p>
    <w:p w14:paraId="7D82196F" w14:textId="53B6115C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Temeljem članka 8. Pravilnika o načinu i postupku zapošljavanja u Učeničkom domu-Kutina, Povjerenstvo za procjenu kandidata dana </w:t>
      </w:r>
      <w:r w:rsidR="005A760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14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</w:t>
      </w:r>
      <w:r w:rsidR="00EF2A3C"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1</w:t>
      </w:r>
      <w:r w:rsidR="005A760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1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.202</w:t>
      </w:r>
      <w:r w:rsidR="00EF2A3C"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5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. objavljuje područje provjere za pripremu kandidata za razgovor (intervju)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 xml:space="preserve"> za radno mjesto </w:t>
      </w:r>
      <w:r w:rsidR="00EF2A3C"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STRUČNI SURADNIK/PEDAGOG (m/ž)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 </w:t>
      </w:r>
      <w:r w:rsidR="005A760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objavljenog </w:t>
      </w:r>
      <w:r w:rsidR="005A760A" w:rsidRPr="005A760A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3.11.2025.</w:t>
      </w:r>
      <w:r w:rsidR="005A760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:</w:t>
      </w:r>
    </w:p>
    <w:p w14:paraId="0F4C54EB" w14:textId="77777777" w:rsidR="00C77A71" w:rsidRPr="008F74B1" w:rsidRDefault="00C77A71" w:rsidP="00C77A71">
      <w:pPr>
        <w:pStyle w:val="NormalWeb"/>
        <w:rPr>
          <w:rFonts w:ascii="Trebuchet MS" w:hAnsi="Trebuchet MS"/>
          <w:sz w:val="21"/>
          <w:szCs w:val="21"/>
        </w:rPr>
      </w:pPr>
      <w:r w:rsidRPr="008F74B1">
        <w:rPr>
          <w:rFonts w:ascii="Trebuchet MS" w:hAnsi="Trebuchet MS"/>
          <w:sz w:val="21"/>
          <w:szCs w:val="21"/>
        </w:rPr>
        <w:t>Izvori za pripremu provjere znanja:</w:t>
      </w:r>
    </w:p>
    <w:p w14:paraId="7E628206" w14:textId="77777777" w:rsidR="00C77A71" w:rsidRPr="008F74B1" w:rsidRDefault="00C77A71" w:rsidP="00C77A71">
      <w:pPr>
        <w:pStyle w:val="NormalWeb"/>
        <w:numPr>
          <w:ilvl w:val="0"/>
          <w:numId w:val="3"/>
        </w:numPr>
        <w:rPr>
          <w:rFonts w:ascii="Trebuchet MS" w:hAnsi="Trebuchet MS"/>
          <w:sz w:val="21"/>
          <w:szCs w:val="21"/>
        </w:rPr>
      </w:pPr>
      <w:r w:rsidRPr="008F74B1">
        <w:rPr>
          <w:rFonts w:ascii="Trebuchet MS" w:hAnsi="Trebuchet MS"/>
          <w:sz w:val="21"/>
          <w:szCs w:val="21"/>
        </w:rPr>
        <w:t>Statut Učeničkog doma-Kutina</w:t>
      </w:r>
    </w:p>
    <w:p w14:paraId="24232B66" w14:textId="77777777" w:rsidR="00C77A71" w:rsidRPr="00C77A71" w:rsidRDefault="00C77A71" w:rsidP="00C77A71">
      <w:pPr>
        <w:pStyle w:val="NormalWeb"/>
        <w:rPr>
          <w:rFonts w:ascii="Trebuchet MS" w:hAnsi="Trebuchet MS"/>
          <w:color w:val="4472C4" w:themeColor="accent1"/>
          <w:sz w:val="21"/>
          <w:szCs w:val="21"/>
        </w:rPr>
      </w:pPr>
      <w:r w:rsidRPr="00C77A71">
        <w:rPr>
          <w:rFonts w:ascii="Trebuchet MS" w:hAnsi="Trebuchet MS"/>
          <w:color w:val="4472C4" w:themeColor="accent1"/>
          <w:sz w:val="21"/>
          <w:szCs w:val="21"/>
        </w:rPr>
        <w:lastRenderedPageBreak/>
        <w:t>https://dom-ucenicki-kutina.skole.hr/?page_id=122</w:t>
      </w:r>
    </w:p>
    <w:p w14:paraId="7444AE69" w14:textId="4C14AB74" w:rsidR="00C77A71" w:rsidRPr="008F74B1" w:rsidRDefault="00C77A71" w:rsidP="00C77A71">
      <w:pPr>
        <w:pStyle w:val="NormalWeb"/>
        <w:rPr>
          <w:rFonts w:ascii="Trebuchet MS" w:hAnsi="Trebuchet MS"/>
          <w:sz w:val="21"/>
          <w:szCs w:val="21"/>
        </w:rPr>
      </w:pPr>
      <w:r w:rsidRPr="008F74B1">
        <w:rPr>
          <w:rFonts w:ascii="Trebuchet MS" w:hAnsi="Trebuchet MS"/>
          <w:sz w:val="21"/>
          <w:szCs w:val="21"/>
        </w:rPr>
        <w:t>2. Zakon o odgoju i obrazovanju u osnovnoj i srednjoj školi (Narodne novine, broj 87/08, 86/09, 92/10, 105/10, 90/11, 5/12, 16/12, 86/12, 126/12, 94/13, 152/14, 07/17, 68/18, 98/19, 64/20, 151/22, 155/23, 156/23</w:t>
      </w:r>
      <w:r w:rsidR="008F74B1">
        <w:rPr>
          <w:rFonts w:ascii="Trebuchet MS" w:hAnsi="Trebuchet MS"/>
          <w:sz w:val="21"/>
          <w:szCs w:val="21"/>
        </w:rPr>
        <w:t>.</w:t>
      </w:r>
      <w:r w:rsidRPr="008F74B1">
        <w:rPr>
          <w:rFonts w:ascii="Trebuchet MS" w:hAnsi="Trebuchet MS"/>
          <w:sz w:val="21"/>
          <w:szCs w:val="21"/>
        </w:rPr>
        <w:t>)</w:t>
      </w:r>
    </w:p>
    <w:p w14:paraId="09E3E17E" w14:textId="77777777" w:rsidR="00C77A71" w:rsidRPr="00C77A71" w:rsidRDefault="00C77A71" w:rsidP="00C77A71">
      <w:pPr>
        <w:pStyle w:val="NormalWeb"/>
        <w:rPr>
          <w:rFonts w:ascii="Trebuchet MS" w:hAnsi="Trebuchet MS"/>
          <w:color w:val="4472C4" w:themeColor="accent1"/>
          <w:sz w:val="21"/>
          <w:szCs w:val="21"/>
        </w:rPr>
      </w:pPr>
      <w:r w:rsidRPr="00C77A71">
        <w:rPr>
          <w:rFonts w:ascii="Trebuchet MS" w:hAnsi="Trebuchet MS"/>
          <w:color w:val="4472C4" w:themeColor="accent1"/>
          <w:sz w:val="21"/>
          <w:szCs w:val="21"/>
        </w:rPr>
        <w:t>https://www.zakon.hr/z/317/zakon-o-odgoju-i-obrazovanju-u-osnovnoj-i-srednjoj-skoli</w:t>
      </w:r>
    </w:p>
    <w:p w14:paraId="064E4F42" w14:textId="77777777" w:rsidR="00C77A71" w:rsidRPr="00C77A71" w:rsidRDefault="00C77A71" w:rsidP="00C77A71">
      <w:pPr>
        <w:pStyle w:val="NormalWeb"/>
        <w:rPr>
          <w:rFonts w:ascii="Trebuchet MS" w:hAnsi="Trebuchet MS"/>
          <w:color w:val="000000"/>
          <w:sz w:val="21"/>
          <w:szCs w:val="21"/>
        </w:rPr>
      </w:pPr>
      <w:r w:rsidRPr="00C77A71">
        <w:rPr>
          <w:rFonts w:ascii="Trebuchet MS" w:hAnsi="Trebuchet MS"/>
          <w:color w:val="000000"/>
          <w:sz w:val="21"/>
          <w:szCs w:val="21"/>
        </w:rPr>
        <w:t>3</w:t>
      </w:r>
      <w:r w:rsidRPr="008F74B1">
        <w:rPr>
          <w:rFonts w:ascii="Trebuchet MS" w:hAnsi="Trebuchet MS"/>
          <w:sz w:val="21"/>
          <w:szCs w:val="21"/>
        </w:rPr>
        <w:t>. Pravilnik o kriterijima za izricanje pedagoških mjera (Narodne novine, broj 94/15 i 3/17</w:t>
      </w:r>
      <w:r w:rsidRPr="00C77A71">
        <w:rPr>
          <w:rFonts w:ascii="Trebuchet MS" w:hAnsi="Trebuchet MS"/>
          <w:color w:val="000000"/>
          <w:sz w:val="21"/>
          <w:szCs w:val="21"/>
        </w:rPr>
        <w:t>)</w:t>
      </w:r>
    </w:p>
    <w:p w14:paraId="05433819" w14:textId="77777777" w:rsidR="00C77A71" w:rsidRPr="00C77A71" w:rsidRDefault="00C77A71" w:rsidP="00C77A71">
      <w:pPr>
        <w:pStyle w:val="NormalWeb"/>
        <w:rPr>
          <w:rFonts w:ascii="Trebuchet MS" w:hAnsi="Trebuchet MS"/>
          <w:color w:val="4472C4" w:themeColor="accent1"/>
          <w:sz w:val="21"/>
          <w:szCs w:val="21"/>
        </w:rPr>
      </w:pPr>
      <w:r w:rsidRPr="00C77A71">
        <w:rPr>
          <w:rFonts w:ascii="Trebuchet MS" w:hAnsi="Trebuchet MS"/>
          <w:color w:val="4472C4" w:themeColor="accent1"/>
          <w:sz w:val="21"/>
          <w:szCs w:val="21"/>
        </w:rPr>
        <w:t>https://www.zakon.hr/cms.htm?id=27329</w:t>
      </w:r>
    </w:p>
    <w:p w14:paraId="25FA2B3E" w14:textId="3AA536C3" w:rsidR="00C77A71" w:rsidRDefault="00C77A71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C77A7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5. Državni pedagoški standard </w:t>
      </w:r>
      <w:r w:rsidR="00A911D5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sred</w:t>
      </w:r>
      <w:r w:rsid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njoškolskog sustava odgoja i obrazovanja ( NN63/2008 ).</w:t>
      </w:r>
    </w:p>
    <w:p w14:paraId="073ACEAE" w14:textId="1ADE0EA4" w:rsidR="00361B3A" w:rsidRDefault="00361B3A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E74B5" w:themeColor="accent5" w:themeShade="BF"/>
          <w:kern w:val="0"/>
          <w:sz w:val="21"/>
          <w:szCs w:val="21"/>
          <w:lang w:eastAsia="hr-HR"/>
          <w14:ligatures w14:val="none"/>
        </w:rPr>
      </w:pPr>
      <w:hyperlink r:id="rId5" w:history="1">
        <w:r w:rsidRPr="00CC5194">
          <w:rPr>
            <w:rStyle w:val="Hyperlink"/>
            <w:rFonts w:ascii="Trebuchet MS" w:eastAsia="Times New Roman" w:hAnsi="Trebuchet MS" w:cs="Times New Roman"/>
            <w:color w:val="034990" w:themeColor="hyperlink" w:themeShade="BF"/>
            <w:kern w:val="0"/>
            <w:sz w:val="21"/>
            <w:szCs w:val="21"/>
            <w:lang w:eastAsia="hr-HR"/>
            <w14:ligatures w14:val="none"/>
          </w:rPr>
          <w:t>https://narodne-novine.nn.hr/clanci/sluzbeni/2008_06_63_2130.html</w:t>
        </w:r>
      </w:hyperlink>
    </w:p>
    <w:p w14:paraId="4314B0BC" w14:textId="1D6BEBFD" w:rsidR="00361B3A" w:rsidRPr="00361B3A" w:rsidRDefault="00361B3A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7.</w:t>
      </w:r>
      <w:r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Domska pedagogija, Vladimir Rosić, Zadar 2027.</w:t>
      </w:r>
    </w:p>
    <w:p w14:paraId="4F7B4F84" w14:textId="2CF40B5F" w:rsidR="00361B3A" w:rsidRDefault="00361B3A" w:rsidP="00361B3A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8.</w:t>
      </w:r>
      <w:r w:rsidRPr="00361B3A"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  <w:t xml:space="preserve"> </w:t>
      </w:r>
      <w:r w:rsidRPr="00361B3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Godišnji Plan i program rada Učeničkog doma-Kutina za  šk.godinu 2025./26.</w:t>
      </w:r>
    </w:p>
    <w:p w14:paraId="247E200D" w14:textId="674CF84D" w:rsidR="00361B3A" w:rsidRPr="00361B3A" w:rsidRDefault="00361B3A" w:rsidP="00361B3A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E74B5" w:themeColor="accent5" w:themeShade="BF"/>
          <w:kern w:val="0"/>
          <w:sz w:val="21"/>
          <w:szCs w:val="21"/>
          <w:lang w:eastAsia="hr-HR"/>
          <w14:ligatures w14:val="none"/>
        </w:rPr>
      </w:pPr>
      <w:r w:rsidRPr="00361B3A">
        <w:rPr>
          <w:rFonts w:ascii="Trebuchet MS" w:eastAsia="Times New Roman" w:hAnsi="Trebuchet MS" w:cs="Times New Roman"/>
          <w:color w:val="2E74B5" w:themeColor="accent5" w:themeShade="BF"/>
          <w:kern w:val="0"/>
          <w:sz w:val="21"/>
          <w:szCs w:val="21"/>
          <w:lang w:eastAsia="hr-HR"/>
          <w14:ligatures w14:val="none"/>
        </w:rPr>
        <w:t>https://dom-ucenicki-kutina.skole.hr/?page_id=295059</w:t>
      </w:r>
    </w:p>
    <w:p w14:paraId="17FF1B31" w14:textId="686C5852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U postupku prijema radnika u radni odnos temeljem natječaja vrednovanje se može izvršiti 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 xml:space="preserve">samo za kandidate koji ispunjavaju </w:t>
      </w:r>
      <w:r w:rsidR="00052EDB"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 xml:space="preserve">formalne uvjete 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>uvjete natječaja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, koji su uz prijavu na natječaj </w:t>
      </w:r>
      <w:r w:rsidRPr="008F74B1">
        <w:rPr>
          <w:rFonts w:ascii="Trebuchet MS" w:eastAsia="Times New Roman" w:hAnsi="Trebuchet MS" w:cs="Times New Roman"/>
          <w:b/>
          <w:bCs/>
          <w:kern w:val="0"/>
          <w:sz w:val="21"/>
          <w:szCs w:val="21"/>
          <w:u w:val="single"/>
          <w:lang w:eastAsia="hr-HR"/>
          <w14:ligatures w14:val="none"/>
        </w:rPr>
        <w:t>dostavili svu traženu dokumentaciju 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i u traženom obliku te se shodno tome smatraju kandidatima prijavljenim na natječaj.</w:t>
      </w:r>
    </w:p>
    <w:p w14:paraId="30C2F374" w14:textId="44D46EF2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Kandidati koji ne ispunjavaju tražene uvjete natječaja i/ili nisu dostavili dokumentaciju u traženom obliku ne smatraju se kandidatima prijavljenim na natječaj i njihove prijave se neće razmatrati</w:t>
      </w:r>
      <w:r w:rsidR="006628F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,</w:t>
      </w: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odnosno ne ulaze u postupak vrednovanja.</w:t>
      </w:r>
    </w:p>
    <w:p w14:paraId="42027C03" w14:textId="77777777" w:rsidR="00360919" w:rsidRPr="00360919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  <w:r w:rsidRPr="00360919"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  <w:t> </w:t>
      </w:r>
    </w:p>
    <w:p w14:paraId="68B000F8" w14:textId="77777777" w:rsidR="008F74B1" w:rsidRPr="00106AB1" w:rsidRDefault="00360919" w:rsidP="005A760A">
      <w:pPr>
        <w:shd w:val="clear" w:color="auto" w:fill="F5FAFD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</w:pPr>
      <w:r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>POZIV NA RAZGOVOR S KANDIDATIMA</w:t>
      </w:r>
    </w:p>
    <w:p w14:paraId="15313B1F" w14:textId="2505EA9B" w:rsidR="00360919" w:rsidRPr="00106AB1" w:rsidRDefault="00360919" w:rsidP="005A760A">
      <w:pPr>
        <w:shd w:val="clear" w:color="auto" w:fill="F5FAFD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</w:pPr>
      <w:r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 xml:space="preserve">za radno </w:t>
      </w:r>
      <w:r w:rsidR="00320443"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 xml:space="preserve">mjesto </w:t>
      </w:r>
      <w:r w:rsidR="008F74B1" w:rsidRPr="00106AB1">
        <w:rPr>
          <w:rFonts w:ascii="Trebuchet MS" w:eastAsia="Times New Roman" w:hAnsi="Trebuchet MS" w:cs="Times New Roman"/>
          <w:b/>
          <w:bCs/>
          <w:color w:val="35586E"/>
          <w:kern w:val="0"/>
          <w:sz w:val="21"/>
          <w:szCs w:val="21"/>
          <w:lang w:eastAsia="hr-HR"/>
          <w14:ligatures w14:val="none"/>
        </w:rPr>
        <w:t>STRUČNI SURADNIK/PEDAGOG (m/ž)</w:t>
      </w:r>
    </w:p>
    <w:p w14:paraId="6804B3F6" w14:textId="7713BA3C" w:rsidR="00EF2A3C" w:rsidRPr="00C77A71" w:rsidRDefault="00EF2A3C" w:rsidP="00EF2A3C">
      <w:pPr>
        <w:pStyle w:val="NormalWeb"/>
        <w:rPr>
          <w:rFonts w:ascii="Trebuchet MS" w:hAnsi="Trebuchet MS"/>
          <w:color w:val="000000"/>
          <w:sz w:val="21"/>
          <w:szCs w:val="21"/>
        </w:rPr>
      </w:pPr>
      <w:r w:rsidRPr="00C77A71">
        <w:rPr>
          <w:rFonts w:ascii="Trebuchet MS" w:hAnsi="Trebuchet MS"/>
          <w:color w:val="000000"/>
          <w:sz w:val="21"/>
          <w:szCs w:val="21"/>
        </w:rPr>
        <w:t>Na temelju članka 107. stavka 9. Zakona o odgoju i obrazovanju u osnovnoj i srednjoj školi (Narodne novine, broj 87/08, 86/09, 92/10, 105/10, 90/11, 16/12, 86/12, 94/13, 152/14, 7/17, 68/18, 98/19, 64/20, 151/22, 155/23, 156/23) i sukladno odredbama Pravilnika o načinu i postupku zapošljavanja u Učeničkom domu-Kutina, Povjerenstvo za vrednovanje kandidata prijavljenih na natječaj za stručnog suradnika pedagoga od 3. studenog 2025. godine objavljuje</w:t>
      </w:r>
    </w:p>
    <w:p w14:paraId="10E30DCB" w14:textId="77777777" w:rsidR="00C77A71" w:rsidRPr="00106AB1" w:rsidRDefault="00C77A71" w:rsidP="00C77A71">
      <w:pPr>
        <w:pStyle w:val="NormalWeb"/>
        <w:rPr>
          <w:rFonts w:ascii="Trebuchet MS" w:hAnsi="Trebuchet MS"/>
          <w:b/>
          <w:bCs/>
          <w:color w:val="000000"/>
          <w:sz w:val="21"/>
          <w:szCs w:val="21"/>
        </w:rPr>
      </w:pPr>
      <w:r w:rsidRPr="00106AB1">
        <w:rPr>
          <w:rFonts w:ascii="Trebuchet MS" w:hAnsi="Trebuchet MS"/>
          <w:b/>
          <w:bCs/>
          <w:color w:val="000000"/>
          <w:sz w:val="21"/>
          <w:szCs w:val="21"/>
        </w:rPr>
        <w:t>POZIV NA INTERVJU (RAZGOVOR)</w:t>
      </w:r>
    </w:p>
    <w:p w14:paraId="1CB5BFA6" w14:textId="0A9706AF" w:rsidR="00360919" w:rsidRPr="00320443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Pozivaju se kandidati/kinje čije su prijave pravodobne i potpune te koji ispunjavaju formalne uvjete iz natječaja za radno mjesto 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STRUČNI SURADNIK/PEDAGOG ( m/ž</w:t>
      </w:r>
      <w:r w:rsidR="00C77A71"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)</w:t>
      </w:r>
      <w:r w:rsid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, 1 izvršitelj/ica na neodređeno, nepuno radno vrijeme, 20 sata tjedno 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 objavljenom na web stranicama i oglasnoj ploči Hrvatskog zavoda za zapošljavanje, službenim stranicama Učeničkog doma-Kutina te oglasnoj ploči Doma dana </w:t>
      </w:r>
      <w:r w:rsidR="005A760A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3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 xml:space="preserve">. 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studenog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 xml:space="preserve"> 202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5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. godine, na </w:t>
      </w:r>
      <w:r w:rsidR="006628FA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selekcijski postupak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/ razgovor   s Povjerenstvom za procjenu kandidata koji će se održati 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2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0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.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11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. 202</w:t>
      </w:r>
      <w:r w:rsidR="00C77A71"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5</w:t>
      </w:r>
      <w:r w:rsidRPr="00320443">
        <w:rPr>
          <w:rFonts w:ascii="Trebuchet MS" w:eastAsia="Times New Roman" w:hAnsi="Trebuchet MS" w:cs="Times New Roman"/>
          <w:b/>
          <w:bCs/>
          <w:kern w:val="0"/>
          <w:sz w:val="21"/>
          <w:szCs w:val="21"/>
          <w:lang w:eastAsia="hr-HR"/>
          <w14:ligatures w14:val="none"/>
        </w:rPr>
        <w:t>. 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( </w:t>
      </w:r>
      <w:r w:rsidR="00C77A71"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 xml:space="preserve">četvrtak) </w:t>
      </w:r>
      <w:r w:rsidRPr="00320443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, u prostorijama Učeničkog doma- Kutina,  Crkvena 22, Kutina, prema sljedećem rasporedu: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4548"/>
        <w:gridCol w:w="3567"/>
      </w:tblGrid>
      <w:tr w:rsidR="00360919" w:rsidRPr="00360919" w14:paraId="49D54762" w14:textId="77777777" w:rsidTr="009048D4">
        <w:trPr>
          <w:trHeight w:val="810"/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0385FD4E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lastRenderedPageBreak/>
              <w:t>Red. broj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46533D14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 </w:t>
            </w:r>
          </w:p>
          <w:p w14:paraId="025AF466" w14:textId="65B01F35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Inicijali imena i prezimena kandidata</w:t>
            </w:r>
            <w:r w:rsidR="009048D4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, godina rođenja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765E8F25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 </w:t>
            </w:r>
          </w:p>
          <w:p w14:paraId="24A67116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Vrijeme održavanja razgovora</w:t>
            </w:r>
          </w:p>
          <w:p w14:paraId="204D201A" w14:textId="7843427E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2</w:t>
            </w:r>
            <w:r w:rsidR="00C77A71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0</w:t>
            </w: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.</w:t>
            </w:r>
            <w:r w:rsidR="00C77A71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11.</w:t>
            </w: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202</w:t>
            </w:r>
            <w:r w:rsidR="00C77A71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5</w:t>
            </w:r>
            <w:r w:rsidRPr="00360919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. </w:t>
            </w:r>
            <w:r w:rsidR="00862CFF">
              <w:rPr>
                <w:rFonts w:ascii="inherit" w:eastAsia="Times New Roman" w:hAnsi="inherit" w:cs="Times New Roman"/>
                <w:b/>
                <w:bCs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(četvrtak)</w:t>
            </w:r>
          </w:p>
        </w:tc>
      </w:tr>
      <w:tr w:rsidR="00360919" w:rsidRPr="00360919" w14:paraId="641119A9" w14:textId="77777777" w:rsidTr="009048D4">
        <w:trPr>
          <w:tblCellSpacing w:w="0" w:type="dxa"/>
        </w:trPr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16204E73" w14:textId="77777777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1.</w:t>
            </w:r>
          </w:p>
        </w:tc>
        <w:tc>
          <w:tcPr>
            <w:tcW w:w="4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706E4F11" w14:textId="4812B4B2" w:rsidR="00360919" w:rsidRPr="00360919" w:rsidRDefault="00360919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D.</w:t>
            </w:r>
            <w:r w:rsidR="009048D4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P</w:t>
            </w: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. (</w:t>
            </w:r>
            <w:r w:rsidR="009048D4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1995</w:t>
            </w:r>
            <w:r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.)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  <w:hideMark/>
          </w:tcPr>
          <w:p w14:paraId="52DC2F58" w14:textId="07F0B39B" w:rsidR="00360919" w:rsidRPr="00360919" w:rsidRDefault="009048D4" w:rsidP="00360919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8,</w:t>
            </w:r>
            <w:r w:rsidR="00360919" w:rsidRPr="00360919"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>00</w:t>
            </w:r>
            <w:r>
              <w:rPr>
                <w:rFonts w:ascii="inherit" w:eastAsia="Times New Roman" w:hAnsi="inherit" w:cs="Times New Roman"/>
                <w:color w:val="35586E"/>
                <w:kern w:val="0"/>
                <w:sz w:val="21"/>
                <w:szCs w:val="21"/>
                <w:lang w:eastAsia="hr-HR"/>
                <w14:ligatures w14:val="none"/>
              </w:rPr>
              <w:t xml:space="preserve"> sati</w:t>
            </w:r>
          </w:p>
        </w:tc>
      </w:tr>
    </w:tbl>
    <w:p w14:paraId="1235CDB3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Kandidati koji ispunjavaju uvjete javnog natječaja biti će i osobno obaviješteni putem e-maila ili drugog kontakta kojeg su naveli u svojoj prijavi na radno mjesto. Svaki član Povjerenstva za procjenu kandidata  vrednuje rezultat testiranja / razgovora  bodovima od 1 do 5 bodova. Nakon provedenog testiranja / razgovora, Povjerenstvo za procjenu kandidata utvrđuje rang-listu kandidata/kinja i sastavlja Izvješće o provedenom postupku.</w:t>
      </w:r>
    </w:p>
    <w:p w14:paraId="3520FFF4" w14:textId="77777777" w:rsidR="00360919" w:rsidRPr="008F74B1" w:rsidRDefault="00360919" w:rsidP="0036091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</w:pPr>
      <w:r w:rsidRPr="008F74B1">
        <w:rPr>
          <w:rFonts w:ascii="Trebuchet MS" w:eastAsia="Times New Roman" w:hAnsi="Trebuchet MS" w:cs="Times New Roman"/>
          <w:kern w:val="0"/>
          <w:sz w:val="21"/>
          <w:szCs w:val="21"/>
          <w:lang w:eastAsia="hr-HR"/>
          <w14:ligatures w14:val="none"/>
        </w:rPr>
        <w:t>Kandidat/kinja koji/a nije pristupio/la testiranju / razgovoru, ne smatra se kandidatom/kinjom u postupku.</w:t>
      </w:r>
    </w:p>
    <w:p w14:paraId="4E0808C2" w14:textId="739FC086" w:rsidR="00360919" w:rsidRPr="00360919" w:rsidRDefault="008F74B1" w:rsidP="008F74B1"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  <w:r w:rsidRPr="00C77A71">
        <w:rPr>
          <w:rFonts w:ascii="Trebuchet MS" w:hAnsi="Trebuchet MS"/>
          <w:color w:val="000000"/>
          <w:sz w:val="21"/>
          <w:szCs w:val="21"/>
        </w:rPr>
        <w:t>Povjerenstvo za vrednovanje kandidata</w:t>
      </w:r>
      <w:r>
        <w:rPr>
          <w:rFonts w:ascii="Trebuchet MS" w:hAnsi="Trebuchet MS"/>
          <w:color w:val="000000"/>
          <w:sz w:val="21"/>
          <w:szCs w:val="21"/>
        </w:rPr>
        <w:t xml:space="preserve"> </w:t>
      </w:r>
      <w:r w:rsidR="00360919" w:rsidRPr="00360919"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  <w:t> </w:t>
      </w:r>
    </w:p>
    <w:p w14:paraId="2544E181" w14:textId="49198DB7" w:rsidR="00360919" w:rsidRPr="00360919" w:rsidRDefault="00360919" w:rsidP="00360919"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</w:p>
    <w:p w14:paraId="5E8BE256" w14:textId="66815817" w:rsidR="00360919" w:rsidRPr="00360919" w:rsidRDefault="00360919" w:rsidP="008F74B1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kern w:val="0"/>
          <w:sz w:val="21"/>
          <w:szCs w:val="21"/>
          <w:lang w:eastAsia="hr-HR"/>
          <w14:ligatures w14:val="none"/>
        </w:rPr>
      </w:pPr>
    </w:p>
    <w:p w14:paraId="27C280D5" w14:textId="77777777" w:rsidR="004D2C3A" w:rsidRDefault="004D2C3A"/>
    <w:sectPr w:rsidR="004D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CEE"/>
    <w:multiLevelType w:val="multilevel"/>
    <w:tmpl w:val="6E8E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5B5FEF"/>
    <w:multiLevelType w:val="hybridMultilevel"/>
    <w:tmpl w:val="94028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7CA2"/>
    <w:multiLevelType w:val="multilevel"/>
    <w:tmpl w:val="759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981902">
    <w:abstractNumId w:val="2"/>
  </w:num>
  <w:num w:numId="2" w16cid:durableId="1125545210">
    <w:abstractNumId w:val="0"/>
  </w:num>
  <w:num w:numId="3" w16cid:durableId="7524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19"/>
    <w:rsid w:val="00052EDB"/>
    <w:rsid w:val="00106AB1"/>
    <w:rsid w:val="00165AF8"/>
    <w:rsid w:val="00273068"/>
    <w:rsid w:val="00320443"/>
    <w:rsid w:val="00360919"/>
    <w:rsid w:val="00361B3A"/>
    <w:rsid w:val="00374BFE"/>
    <w:rsid w:val="004D2C3A"/>
    <w:rsid w:val="005A760A"/>
    <w:rsid w:val="006628FA"/>
    <w:rsid w:val="00702BE3"/>
    <w:rsid w:val="0079112E"/>
    <w:rsid w:val="00862CFF"/>
    <w:rsid w:val="008E1791"/>
    <w:rsid w:val="008F74B1"/>
    <w:rsid w:val="009048D4"/>
    <w:rsid w:val="009127C8"/>
    <w:rsid w:val="00A911D5"/>
    <w:rsid w:val="00AC44A1"/>
    <w:rsid w:val="00C77A71"/>
    <w:rsid w:val="00CE40E6"/>
    <w:rsid w:val="00E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6103"/>
  <w15:chartTrackingRefBased/>
  <w15:docId w15:val="{7917411A-0C70-44DB-8E81-ED681E98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919"/>
    <w:rPr>
      <w:b/>
      <w:bCs/>
      <w:smallCaps/>
      <w:color w:val="2F5496" w:themeColor="accent1" w:themeShade="BF"/>
      <w:spacing w:val="5"/>
    </w:rPr>
  </w:style>
  <w:style w:type="paragraph" w:customStyle="1" w:styleId="text-align-justify">
    <w:name w:val="text-align-justify"/>
    <w:basedOn w:val="Normal"/>
    <w:rsid w:val="00EF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EF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361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08_06_63_213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8</cp:revision>
  <dcterms:created xsi:type="dcterms:W3CDTF">2025-11-14T09:21:00Z</dcterms:created>
  <dcterms:modified xsi:type="dcterms:W3CDTF">2025-11-14T12:19:00Z</dcterms:modified>
</cp:coreProperties>
</file>